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AB9" w:rsidRPr="009E3AB9" w:rsidRDefault="009E3AB9" w:rsidP="009E3AB9">
      <w:pPr>
        <w:spacing w:before="100" w:beforeAutospacing="1" w:after="100" w:afterAutospacing="1" w:line="240" w:lineRule="auto"/>
        <w:outlineLvl w:val="0"/>
        <w:rPr>
          <w:rFonts w:ascii="Lora" w:eastAsia="Times New Roman" w:hAnsi="Lora" w:cs="Times New Roman"/>
          <w:spacing w:val="-15"/>
          <w:kern w:val="36"/>
          <w:sz w:val="45"/>
          <w:szCs w:val="45"/>
        </w:rPr>
      </w:pPr>
      <w:bookmarkStart w:id="0" w:name="_GoBack"/>
      <w:bookmarkEnd w:id="0"/>
      <w:r w:rsidRPr="009E3AB9">
        <w:rPr>
          <w:rFonts w:ascii="Lora" w:eastAsia="Times New Roman" w:hAnsi="Lora" w:cs="Times New Roman"/>
          <w:spacing w:val="-15"/>
          <w:kern w:val="36"/>
          <w:sz w:val="45"/>
          <w:szCs w:val="45"/>
        </w:rPr>
        <w:t>Grant Agreement Process Changes</w:t>
      </w:r>
    </w:p>
    <w:p w:rsidR="009E3AB9" w:rsidRPr="009E3AB9" w:rsidRDefault="0071680D" w:rsidP="009E3AB9">
      <w:pPr>
        <w:spacing w:after="0" w:line="240" w:lineRule="auto"/>
        <w:rPr>
          <w:rFonts w:ascii="Times New Roman" w:eastAsia="Times New Roman" w:hAnsi="Times New Roman" w:cs="Times New Roman"/>
        </w:rPr>
      </w:pPr>
      <w:hyperlink r:id="rId4" w:history="1">
        <w:r w:rsidR="009E3AB9" w:rsidRPr="009E3AB9">
          <w:rPr>
            <w:rFonts w:ascii="Times New Roman" w:eastAsia="Times New Roman" w:hAnsi="Times New Roman" w:cs="Times New Roman"/>
            <w:color w:val="5994B8"/>
            <w:u w:val="single"/>
          </w:rPr>
          <w:t>11/03/201711/22/2017</w:t>
        </w:r>
      </w:hyperlink>
      <w:hyperlink r:id="rId5" w:history="1">
        <w:r w:rsidR="009E3AB9" w:rsidRPr="009E3AB9">
          <w:rPr>
            <w:rFonts w:ascii="Times New Roman" w:eastAsia="Times New Roman" w:hAnsi="Times New Roman" w:cs="Times New Roman"/>
            <w:color w:val="5994B8"/>
            <w:u w:val="single"/>
          </w:rPr>
          <w:t>Valerie Way</w:t>
        </w:r>
      </w:hyperlink>
      <w:r w:rsidR="009E3AB9" w:rsidRPr="009E3AB9">
        <w:rPr>
          <w:rFonts w:ascii="Times New Roman" w:eastAsia="Times New Roman" w:hAnsi="Times New Roman" w:cs="Times New Roman"/>
        </w:rPr>
        <w:t xml:space="preserve"> 26 views </w:t>
      </w:r>
    </w:p>
    <w:p w:rsidR="009E3AB9" w:rsidRPr="009E3AB9" w:rsidRDefault="009E3AB9" w:rsidP="009E3AB9">
      <w:pPr>
        <w:spacing w:before="100" w:beforeAutospacing="1" w:after="360" w:line="240" w:lineRule="auto"/>
        <w:rPr>
          <w:rFonts w:ascii="Times New Roman" w:eastAsia="Times New Roman" w:hAnsi="Times New Roman" w:cs="Times New Roman"/>
        </w:rPr>
      </w:pPr>
      <w:r w:rsidRPr="009E3AB9">
        <w:rPr>
          <w:rFonts w:ascii="Times New Roman" w:eastAsia="Times New Roman" w:hAnsi="Times New Roman" w:cs="Times New Roman"/>
        </w:rPr>
        <w:t xml:space="preserve">November 3, 2017 – The Leadership Cabinet recently voted to allow ministry areas to elect to waive the general liability insurance requirement in grant agreements for grantees due to one of the following exceptions: 1) the grant is a domestic grant of $20,000 or less and the Grantee is a small capacity or emerging organization or 2) the grant is an international grant and the ministry area staff team or approving committee deemed it appropriate to waive the insurance requirements. These waivers do not have to be approved by Legal Services; all other situations still require the approval of Legal Services to waive the insurance requirement. At the request of the audit committee, all waivers must be tracked and reported to the audit committee. As such, ministry areas must complete and attach to their grant agreements the General Liability Insurance Worksheet when submitting their grants for approval/a grant number. </w:t>
      </w:r>
      <w:hyperlink r:id="rId6" w:tgtFrame="_blank" w:history="1">
        <w:r w:rsidRPr="009E3AB9">
          <w:rPr>
            <w:rFonts w:ascii="Times New Roman" w:eastAsia="Times New Roman" w:hAnsi="Times New Roman" w:cs="Times New Roman"/>
            <w:color w:val="5994B8"/>
            <w:u w:val="single"/>
          </w:rPr>
          <w:t>The form can be found here</w:t>
        </w:r>
      </w:hyperlink>
      <w:r w:rsidRPr="009E3AB9">
        <w:rPr>
          <w:rFonts w:ascii="Times New Roman" w:eastAsia="Times New Roman" w:hAnsi="Times New Roman" w:cs="Times New Roman"/>
        </w:rPr>
        <w:t>. Grant agreements with waivers will not be approved without this worksheet. Please note that the domestic grant exception is not currently operative, as the workgroup is still in the process of defining “small capacity or emerging organization.” Questions? Please see Susan Abraham, April Davenport, or Hannah Truxell. </w:t>
      </w:r>
    </w:p>
    <w:p w:rsidR="009E19A6" w:rsidRDefault="009E19A6"/>
    <w:sectPr w:rsidR="009E19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AB9"/>
    <w:rsid w:val="0071680D"/>
    <w:rsid w:val="009E19A6"/>
    <w:rsid w:val="009E3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C116BB-6B58-485D-B55F-FF044048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88755">
      <w:bodyDiv w:val="1"/>
      <w:marLeft w:val="0"/>
      <w:marRight w:val="0"/>
      <w:marTop w:val="0"/>
      <w:marBottom w:val="0"/>
      <w:divBdr>
        <w:top w:val="none" w:sz="0" w:space="0" w:color="auto"/>
        <w:left w:val="none" w:sz="0" w:space="0" w:color="auto"/>
        <w:bottom w:val="none" w:sz="0" w:space="0" w:color="auto"/>
        <w:right w:val="none" w:sz="0" w:space="0" w:color="auto"/>
      </w:divBdr>
      <w:divsChild>
        <w:div w:id="1805154990">
          <w:marLeft w:val="0"/>
          <w:marRight w:val="0"/>
          <w:marTop w:val="0"/>
          <w:marBottom w:val="0"/>
          <w:divBdr>
            <w:top w:val="none" w:sz="0" w:space="0" w:color="auto"/>
            <w:left w:val="none" w:sz="0" w:space="0" w:color="auto"/>
            <w:bottom w:val="none" w:sz="0" w:space="0" w:color="auto"/>
            <w:right w:val="none" w:sz="0" w:space="0" w:color="auto"/>
          </w:divBdr>
          <w:divsChild>
            <w:div w:id="1920820617">
              <w:marLeft w:val="0"/>
              <w:marRight w:val="0"/>
              <w:marTop w:val="0"/>
              <w:marBottom w:val="0"/>
              <w:divBdr>
                <w:top w:val="none" w:sz="0" w:space="0" w:color="auto"/>
                <w:left w:val="none" w:sz="0" w:space="0" w:color="auto"/>
                <w:bottom w:val="none" w:sz="0" w:space="0" w:color="auto"/>
                <w:right w:val="none" w:sz="0" w:space="0" w:color="auto"/>
              </w:divBdr>
              <w:divsChild>
                <w:div w:id="2006127323">
                  <w:marLeft w:val="0"/>
                  <w:marRight w:val="0"/>
                  <w:marTop w:val="0"/>
                  <w:marBottom w:val="0"/>
                  <w:divBdr>
                    <w:top w:val="none" w:sz="0" w:space="0" w:color="auto"/>
                    <w:left w:val="none" w:sz="0" w:space="0" w:color="auto"/>
                    <w:bottom w:val="none" w:sz="0" w:space="0" w:color="auto"/>
                    <w:right w:val="none" w:sz="0" w:space="0" w:color="auto"/>
                  </w:divBdr>
                  <w:divsChild>
                    <w:div w:id="1467501670">
                      <w:marLeft w:val="0"/>
                      <w:marRight w:val="0"/>
                      <w:marTop w:val="0"/>
                      <w:marBottom w:val="0"/>
                      <w:divBdr>
                        <w:top w:val="none" w:sz="0" w:space="0" w:color="auto"/>
                        <w:left w:val="none" w:sz="0" w:space="0" w:color="auto"/>
                        <w:bottom w:val="none" w:sz="0" w:space="0" w:color="auto"/>
                        <w:right w:val="none" w:sz="0" w:space="0" w:color="auto"/>
                      </w:divBdr>
                    </w:div>
                    <w:div w:id="13376309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sbyterianmission.org/wp-content/uploads/sites/20/general_liability_insurance_worksheet_for_grants.pdf" TargetMode="External"/><Relationship Id="rId5" Type="http://schemas.openxmlformats.org/officeDocument/2006/relationships/hyperlink" Target="https://www.presbyterianmission.org/centernet/author/valerieway/" TargetMode="External"/><Relationship Id="rId4" Type="http://schemas.openxmlformats.org/officeDocument/2006/relationships/hyperlink" Target="https://www.presbyterianmission.org/centernet/2017/11/03/grant-agreement-process-chan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Presbyterian Church (U.S.A.)</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Grant</dc:creator>
  <cp:keywords/>
  <dc:description/>
  <cp:lastModifiedBy>Dana Dages</cp:lastModifiedBy>
  <cp:revision>2</cp:revision>
  <dcterms:created xsi:type="dcterms:W3CDTF">2020-10-21T18:33:00Z</dcterms:created>
  <dcterms:modified xsi:type="dcterms:W3CDTF">2020-10-21T18:33:00Z</dcterms:modified>
</cp:coreProperties>
</file>